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2709" w14:textId="77777777" w:rsidR="00565FA7" w:rsidRDefault="00CB40F2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2 к договору ________________</w:t>
      </w:r>
    </w:p>
    <w:p w14:paraId="72947CD4" w14:textId="77777777" w:rsidR="00565FA7" w:rsidRDefault="00565FA7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5CBD3" w14:textId="77777777" w:rsidR="00565FA7" w:rsidRDefault="00565FA7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E92C67" w14:textId="77777777" w:rsidR="00565FA7" w:rsidRDefault="00565FA7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594195" w14:textId="77777777" w:rsidR="00565FA7" w:rsidRDefault="00565FA7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35ECFC" w14:textId="77777777" w:rsidR="00565FA7" w:rsidRDefault="00565FA7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D1630D" w14:textId="77777777" w:rsidR="00565FA7" w:rsidRDefault="00CB40F2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Техническая спецификация</w:t>
      </w:r>
    </w:p>
    <w:p w14:paraId="15D1CBF5" w14:textId="77777777" w:rsidR="00565FA7" w:rsidRDefault="00CB40F2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предоставлению услуги доступа к сети Интернет</w:t>
      </w:r>
    </w:p>
    <w:p w14:paraId="2C8A2E80" w14:textId="77777777" w:rsidR="00565FA7" w:rsidRDefault="00CB40F2">
      <w:pPr>
        <w:spacing w:after="0" w:line="240" w:lineRule="auto"/>
        <w:ind w:left="709" w:right="-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Обеспечение услугой доступа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сети Интернет </w:t>
      </w:r>
    </w:p>
    <w:p w14:paraId="4C26BCB1" w14:textId="77777777" w:rsidR="00565FA7" w:rsidRDefault="00CB40F2">
      <w:pPr>
        <w:spacing w:after="0" w:line="240" w:lineRule="auto"/>
        <w:ind w:left="709" w:right="-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таблице 1 указаны требуемые услуги связи.</w:t>
      </w:r>
    </w:p>
    <w:p w14:paraId="0521A420" w14:textId="77777777" w:rsidR="00565FA7" w:rsidRDefault="00565FA7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A22096" w14:textId="77777777" w:rsidR="00565FA7" w:rsidRPr="00B90935" w:rsidRDefault="00CB40F2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90935">
        <w:rPr>
          <w:rFonts w:ascii="Times New Roman" w:eastAsia="Cambria" w:hAnsi="Times New Roman" w:cs="Times New Roman"/>
          <w:sz w:val="24"/>
          <w:szCs w:val="24"/>
        </w:rPr>
        <w:t>Таблица 1. Объем необходимых услуг связи для объекта Заказчика</w:t>
      </w:r>
    </w:p>
    <w:tbl>
      <w:tblPr>
        <w:tblStyle w:val="a5"/>
        <w:tblW w:w="935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969"/>
        <w:gridCol w:w="4962"/>
      </w:tblGrid>
      <w:tr w:rsidR="00565FA7" w:rsidRPr="00B90935" w14:paraId="16399F47" w14:textId="77777777">
        <w:trPr>
          <w:trHeight w:val="5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44C906D7" w14:textId="77777777" w:rsidR="00565FA7" w:rsidRPr="00B90935" w:rsidRDefault="00CB40F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B9093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F1832C1" w14:textId="77777777" w:rsidR="00565FA7" w:rsidRPr="00B90935" w:rsidRDefault="00CB40F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B9093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E600F5A" w14:textId="77777777" w:rsidR="00565FA7" w:rsidRPr="00B90935" w:rsidRDefault="00CB40F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B9093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</w:tr>
      <w:tr w:rsidR="00565FA7" w:rsidRPr="00B90935" w14:paraId="38DD7A6F" w14:textId="77777777">
        <w:trPr>
          <w:trHeight w:val="137"/>
        </w:trPr>
        <w:tc>
          <w:tcPr>
            <w:tcW w:w="425" w:type="dxa"/>
            <w:vMerge/>
            <w:shd w:val="clear" w:color="auto" w:fill="auto"/>
            <w:vAlign w:val="center"/>
          </w:tcPr>
          <w:p w14:paraId="3BA02762" w14:textId="77777777" w:rsidR="00565FA7" w:rsidRPr="00B90935" w:rsidRDefault="00565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A13A41C" w14:textId="77777777" w:rsidR="00565FA7" w:rsidRPr="00B90935" w:rsidRDefault="00565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2E8B80EB" w14:textId="77777777" w:rsidR="00565FA7" w:rsidRPr="00B90935" w:rsidRDefault="00CB40F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B9093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Доступ к сети </w:t>
            </w:r>
            <w:proofErr w:type="gramStart"/>
            <w:r w:rsidRPr="00B9093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Интернет  100</w:t>
            </w:r>
            <w:proofErr w:type="gramEnd"/>
            <w:r w:rsidRPr="00B9093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Мбит/с Мбит/с</w:t>
            </w:r>
          </w:p>
        </w:tc>
      </w:tr>
      <w:tr w:rsidR="00565FA7" w:rsidRPr="00B90935" w14:paraId="2564D59D" w14:textId="77777777">
        <w:trPr>
          <w:trHeight w:val="657"/>
        </w:trPr>
        <w:tc>
          <w:tcPr>
            <w:tcW w:w="425" w:type="dxa"/>
            <w:shd w:val="clear" w:color="auto" w:fill="auto"/>
            <w:vAlign w:val="center"/>
          </w:tcPr>
          <w:p w14:paraId="23AEBD9B" w14:textId="77777777" w:rsidR="00565FA7" w:rsidRPr="00B90935" w:rsidRDefault="00CB40F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B9093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ACAF84" w14:textId="77777777" w:rsidR="00565FA7" w:rsidRPr="00B90935" w:rsidRDefault="00CB40F2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9093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г. Нур-Султан, пр. </w:t>
            </w:r>
            <w:proofErr w:type="spellStart"/>
            <w:r w:rsidRPr="00B90935">
              <w:rPr>
                <w:rFonts w:ascii="Times New Roman" w:eastAsia="Cambria" w:hAnsi="Times New Roman" w:cs="Times New Roman"/>
                <w:sz w:val="24"/>
                <w:szCs w:val="24"/>
              </w:rPr>
              <w:t>Мангилик</w:t>
            </w:r>
            <w:proofErr w:type="spellEnd"/>
            <w:r w:rsidRPr="00B9093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ел, 55/9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8D60403" w14:textId="77777777" w:rsidR="00565FA7" w:rsidRPr="00B90935" w:rsidRDefault="00CB40F2">
            <w:pPr>
              <w:spacing w:after="0" w:line="240" w:lineRule="auto"/>
              <w:ind w:right="-108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B9093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Поддержка блока из 8 IP адресов</w:t>
            </w:r>
          </w:p>
        </w:tc>
      </w:tr>
    </w:tbl>
    <w:p w14:paraId="2863AF72" w14:textId="77777777" w:rsidR="00565FA7" w:rsidRDefault="00565FA7">
      <w:pPr>
        <w:spacing w:after="0" w:line="240" w:lineRule="auto"/>
        <w:ind w:right="-6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4E5FDD" w14:textId="77777777" w:rsidR="00565FA7" w:rsidRDefault="00CB40F2">
      <w:pPr>
        <w:spacing w:after="0" w:line="240" w:lineRule="auto"/>
        <w:ind w:right="-68" w:firstLine="6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Требования к услуге доступа к сети Интернет:</w:t>
      </w:r>
    </w:p>
    <w:p w14:paraId="40C064A5" w14:textId="77777777" w:rsidR="00565FA7" w:rsidRDefault="00CB40F2">
      <w:pPr>
        <w:numPr>
          <w:ilvl w:val="1"/>
          <w:numId w:val="1"/>
        </w:num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Потенциальный поставщик, должен организовать услуги связи только с использованием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волоконно-оптических линий связи (ВОЛС)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всём протяжении трассы без наличия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участков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организованных посредством радиодоступа и спутниковых каналов (для обеспечения устойчивого надежного соединения), с сохранением имеющегося оконечного оборудования;</w:t>
      </w:r>
    </w:p>
    <w:p w14:paraId="2FE1F319" w14:textId="77777777" w:rsidR="00565FA7" w:rsidRDefault="00CB40F2">
      <w:pPr>
        <w:numPr>
          <w:ilvl w:val="1"/>
          <w:numId w:val="1"/>
        </w:num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Интерфейс подключения к локальной сети Заказчика – Ethernet</w:t>
      </w:r>
    </w:p>
    <w:p w14:paraId="0A37C1CE" w14:textId="77777777" w:rsidR="00565FA7" w:rsidRDefault="00CB40F2">
      <w:pPr>
        <w:numPr>
          <w:ilvl w:val="1"/>
          <w:numId w:val="1"/>
        </w:num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выхода канала из строя, дежурный оператор Заказчика сообщает о проблеме в службу технической поддержки потенциального Поставщика, который определяет статус проблемы и вызывает соответствующий персонал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устранения неисправности;</w:t>
      </w:r>
    </w:p>
    <w:p w14:paraId="1812A666" w14:textId="77777777" w:rsidR="00565FA7" w:rsidRDefault="00CB40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Потенциальный поставщик должен самостоятельно проводить весь объем подготовительных и монтажных работ по предварительному согласованию с Заказчиком;</w:t>
      </w:r>
    </w:p>
    <w:p w14:paraId="1E865120" w14:textId="77777777" w:rsidR="00565FA7" w:rsidRDefault="00CB40F2">
      <w:pPr>
        <w:numPr>
          <w:ilvl w:val="1"/>
          <w:numId w:val="1"/>
        </w:num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Потенциальный поставщик должен предоставить всё необходимое оборудование для организации услуг связи, в том числе обеспечить активным коммутационным оборудованием, подключённым к источнику бесперебойного питания узловые помещения на объектах Заказчика. </w:t>
      </w:r>
    </w:p>
    <w:p w14:paraId="21E309B3" w14:textId="77777777" w:rsidR="00565FA7" w:rsidRDefault="00CB40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Потенциальный поставщик должен иметь круглосуточную службу поддержки. Служба поддержки обеспечивает круглосуточный контроль состояния сети, оперативное устранение неисправностей, время устранения повреждений оборудования – не более 6 часов</w:t>
      </w:r>
    </w:p>
    <w:p w14:paraId="1DF7E009" w14:textId="77777777" w:rsidR="00565FA7" w:rsidRDefault="00CB40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Потенциальный поставщик услуг должен обеспечить мониторинг услуги доступа к сети Интернет в режиме 24 часа в сутки, 7 дней в неделю, 365 дней в году (24х7х365);</w:t>
      </w:r>
    </w:p>
    <w:p w14:paraId="495A8219" w14:textId="77777777" w:rsidR="00565FA7" w:rsidRDefault="00CB40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Потенциальный поставщик гарантирует произвести все монтажные работы по организации последней мили до точек подключения на объектах Заказчика, и выполнение работ по настройке конечных устройств Заказчика.</w:t>
      </w:r>
    </w:p>
    <w:p w14:paraId="303DE834" w14:textId="77777777" w:rsidR="00565FA7" w:rsidRDefault="00CB40F2">
      <w:pPr>
        <w:spacing w:after="0"/>
        <w:ind w:right="-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5201D4AD" w14:textId="77777777" w:rsidR="00565FA7" w:rsidRDefault="00CB40F2">
      <w:pPr>
        <w:spacing w:after="0"/>
        <w:ind w:right="-68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потенциальному Поставщику</w:t>
      </w:r>
    </w:p>
    <w:p w14:paraId="2B48DD1F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инсталляции (начало предоставления услуг): с 01.01.2022 г.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31.12.2022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2557B3CC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Потенциальный поставщик должен иметь зарегистрированную в базе RIPE автономную систему. Что должно быть подтверждено предоставлением результатов запроса с официального сайта https://www.ripe.net/. Необходимо предоставить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Заказчику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подтверждающую ссылку от данного источника, где будет отражена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подробная информация о закрепленных IP адресах на имя потенциальный Поставщика;</w:t>
      </w:r>
    </w:p>
    <w:p w14:paraId="3099622A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требованию Заказчика предоставлять дополнительную информацию, связанную с оказанием Услуг;</w:t>
      </w:r>
    </w:p>
    <w:p w14:paraId="0757C2EC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наземной сети телекоммуникаций потенциального поставщика должно поддерживать современные технологии пакетной передачи данных и такие протоколы как BGP-4 (RFC 1771), MPLS (RFC 3031), MP-BGP (RFC 2858), MPLS VPN (RFC 2858bis);</w:t>
      </w:r>
    </w:p>
    <w:p w14:paraId="4CDD8D28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Потенциальный поставщик должен предоставлять услуги доступа к сети Интернет 24 часа в сутки, 365 дней в году (24х7х365) в соответствии с требованиями Закона Республики Казахстан «О связи», Правилами оказания услуг доступа к Интернету (Приказ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Министра по инвестициям и развитию РК №10999 от 24.02.2015г.) и Закона РК «Об информатизации»;</w:t>
      </w:r>
    </w:p>
    <w:p w14:paraId="6A7D24ED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Потенциальный поставщик должен обеспечить доступность услуги на уровне 99,5%;</w:t>
      </w:r>
    </w:p>
    <w:p w14:paraId="5DFE796E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Потенциальный поставщик должен обеспечить уровень потерь пакетов на своей сети не более 1%;</w:t>
      </w:r>
    </w:p>
    <w:p w14:paraId="068548EE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потенциальному поставщику для предоставления услуг доступа к сети Интернет потребуется завести и сделать разводку/прокладку кабеля в здании Заказчика, осуществить монтаж оборудования, потенциальный Поставщик должен согласовать проведение указанных работ с Заказчиком и владельцем здания. Работы по монтажу оборудования и прокладке кабелей для оказания услуг доступа к сети Интернет должны быть выполнены в соответствии с требованиями пунктов 18 и 19 Приказа Министра национальной экономики Республики Казахстан от 30 ноября 2015 года №750 «Об утверждении Правил организации застройки и прохождения разрешительных процедур в сфере строительства». При этом все затраты на монтаж оборудования, прокладку кабелей и другие работы по предоставлению услуг доступа к сети Интернет потенциальный Поставщик несет за свой счет;</w:t>
      </w:r>
    </w:p>
    <w:p w14:paraId="424B8F61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Загрузка магистральных каналов сети потенциального поставщика и каналов Интернет не должна превышать 80%;</w:t>
      </w:r>
    </w:p>
    <w:p w14:paraId="67C84990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обеспечения обязательств по договору о закупках услуг и требований настоящей Технической спецификации потенциальный Поставщик должен подтвердить наличие в штате не менее двух инженеров не ниже уровня эксперта (CCIE) в области маршрутизации и коммутации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оборудования, используемого потенциальным Поставщиком, должен иметь опыт работы не менее 2-х лет в штате Потенциального поставщика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приложить подтверждающие документы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9BB048A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оборудование потенциального поставщика, используемое для предоставления услуг Заказчику, должно иметь сертификаты соответствия стандартам Республики Казахстан;</w:t>
      </w:r>
    </w:p>
    <w:p w14:paraId="66A9D2D6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услуг должно соответствовать существующим стандартам, техническим и иным нормам, действующим в Республике Казахстан;</w:t>
      </w:r>
    </w:p>
    <w:p w14:paraId="1C0A3822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защиту и сохранность служебной информации о Заказчике в соответствии с внутренними регламентами потенциального Поставщика и законодательством Республики Казахстан;</w:t>
      </w:r>
    </w:p>
    <w:p w14:paraId="4F182267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Потенциальный Поставщик должен иметь мониторинг собственной сети на соответствие утвержденным коэффициентом готовности сети (КГС);</w:t>
      </w:r>
    </w:p>
    <w:p w14:paraId="6BECB024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замене существующих IP адресов потенциальный поставщик обязан провести весь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обьем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конфигурации всей инфраструктуры заказчика.</w:t>
      </w:r>
    </w:p>
    <w:p w14:paraId="722E5667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 должна предоставляться согласно параграфу 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оказания услуг доступа к Интернету» утвержденных приказом И.О Министра по инвестициям и развитию Республики Казахстан от 24 февраля 2015 года № 171</w:t>
      </w:r>
    </w:p>
    <w:p w14:paraId="76B59B09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выполнении указанных услуг потенциальный поставщик обязан обеспечивать и соблюдать Политику информационной безопасности, требований к информационной безопасности согласно нормативно-правовым актам РК;</w:t>
      </w:r>
    </w:p>
    <w:p w14:paraId="30099E95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Потенциальный Поставщик должен иметь возможность предоставить услуги: Защита сетевых ресурсов абонента от DDOS-атак с применением специализированных программно-аппаратных средств защиты c возможностью предоставление по запросу информацию о заблокированных атаках на сетевую инфраструктуру;</w:t>
      </w:r>
    </w:p>
    <w:p w14:paraId="7C158CC5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Потенциальный Поставщик должен иметь возможность предоставить услуги: DPI (глубокий анализ трафика);</w:t>
      </w:r>
    </w:p>
    <w:p w14:paraId="61C66F2E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Ценовое предложение потенциального поставщика должно включать все расходы, связанные с оказанием услуг.</w:t>
      </w:r>
    </w:p>
    <w:p w14:paraId="14A41D3E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производится за фактически предоставленные услуги.</w:t>
      </w:r>
    </w:p>
    <w:p w14:paraId="77028BB7" w14:textId="77777777" w:rsidR="00565FA7" w:rsidRDefault="00CB40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right="-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услуги соответствует стандартам системы менеджмента качества, системы экологического менеджмента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охране здоровья и безопасности труда на рабочем месте и соответствию стандарта по информационной безопасности ISO 9001, ISO 14001, 27001, ISO 45001. </w:t>
      </w:r>
    </w:p>
    <w:p w14:paraId="37B6F486" w14:textId="77777777" w:rsidR="00565FA7" w:rsidRDefault="00565FA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CF9B11" w14:textId="77777777" w:rsidR="00565FA7" w:rsidRDefault="00565FA7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7C7B3F" w14:textId="037870F4" w:rsidR="00565FA7" w:rsidRDefault="00565FA7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91EFEC" w14:textId="7FADFBCF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A2348D" w14:textId="79C6E4E7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487065" w14:textId="1C0CC3E9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C486BB" w14:textId="7E71798A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509985" w14:textId="491E5CDB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DD19B9" w14:textId="393091B8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530C93" w14:textId="681616E0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788769" w14:textId="54EFA088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EE7600" w14:textId="62318363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8A5F4F" w14:textId="77771437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4F7CDD" w14:textId="3A75FFEE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E8188A" w14:textId="7202401E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62C4DE" w14:textId="77277028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06A3DF" w14:textId="7CC966DE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C5014" w14:textId="1D18EBCE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1AFDD3" w14:textId="06886624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C3286E" w14:textId="0EF2C407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56FFA3" w14:textId="2E99C172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9EF2DA" w14:textId="7BD77720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01EFFA" w14:textId="29600C49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C4046A" w14:textId="4EEA43AE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3336A4" w14:textId="23C3EF8C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C989A7" w14:textId="04B2A390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8143" w14:textId="3D20B8CA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5DE1DE" w14:textId="4BAEDC3D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43DACB" w14:textId="5C2D4DEC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34F12" w14:textId="6CCD3470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6190CB" w14:textId="14FC8900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2082E4" w14:textId="754A4003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86B577" w14:textId="16EC722C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E4B098" w14:textId="6B5769F1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8841A2" w14:textId="6D4A99B9" w:rsidR="00B90935" w:rsidRDefault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7A03AE" w14:textId="38ABDD41" w:rsidR="00B90935" w:rsidRPr="00EF55EA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left="5760" w:right="-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5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</w:t>
      </w:r>
      <w:r w:rsidRPr="00EF5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____ </w:t>
      </w:r>
      <w:proofErr w:type="spellStart"/>
      <w:r w:rsidRPr="00EF5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Шартқа</w:t>
      </w:r>
      <w:proofErr w:type="spellEnd"/>
      <w:r w:rsidRPr="00EF5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 </w:t>
      </w:r>
      <w:proofErr w:type="spellStart"/>
      <w:r w:rsidRPr="00EF5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қосымша</w:t>
      </w:r>
      <w:proofErr w:type="spellEnd"/>
    </w:p>
    <w:p w14:paraId="3DEBFFDB" w14:textId="77777777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C33FA4" w14:textId="77777777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F8EC80" w14:textId="77777777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95BBA5" w14:textId="6928A585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Интернет </w:t>
      </w:r>
      <w:proofErr w:type="spellStart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желісіне</w:t>
      </w:r>
      <w:proofErr w:type="spellEnd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қол</w:t>
      </w:r>
      <w:proofErr w:type="spellEnd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жеткізу</w:t>
      </w:r>
      <w:proofErr w:type="spellEnd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бойынша</w:t>
      </w:r>
      <w:proofErr w:type="spellEnd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қызметтер</w:t>
      </w:r>
      <w:proofErr w:type="spellEnd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ұсыну</w:t>
      </w:r>
      <w:proofErr w:type="spellEnd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бойынша</w:t>
      </w:r>
      <w:proofErr w:type="spellEnd"/>
    </w:p>
    <w:p w14:paraId="3B4C9E48" w14:textId="5762CFEF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Техникалық</w:t>
      </w:r>
      <w:proofErr w:type="spellEnd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ерекшелік</w:t>
      </w:r>
      <w:proofErr w:type="spellEnd"/>
    </w:p>
    <w:p w14:paraId="0560F505" w14:textId="77777777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A47184" w14:textId="77777777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Мақсаты</w:t>
      </w:r>
      <w:proofErr w:type="spellEnd"/>
      <w:r w:rsidRPr="00B9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желісіне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қызметімен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ету</w:t>
      </w:r>
      <w:proofErr w:type="spellEnd"/>
    </w:p>
    <w:p w14:paraId="06A3D7B5" w14:textId="77777777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1-кестеде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талап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етілетін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96ECE1" w14:textId="77777777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0A616E" w14:textId="77777777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48B62A" w14:textId="7A8391A7" w:rsid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1-кесте.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көлемі</w:t>
      </w:r>
      <w:proofErr w:type="spellEnd"/>
    </w:p>
    <w:p w14:paraId="2477AF14" w14:textId="77777777" w:rsid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5240"/>
      </w:tblGrid>
      <w:tr w:rsidR="0009188D" w14:paraId="418ED859" w14:textId="77777777" w:rsidTr="0009188D">
        <w:tc>
          <w:tcPr>
            <w:tcW w:w="562" w:type="dxa"/>
            <w:shd w:val="clear" w:color="auto" w:fill="auto"/>
          </w:tcPr>
          <w:p w14:paraId="7DE64A61" w14:textId="35FDE317" w:rsidR="0009188D" w:rsidRPr="0009188D" w:rsidRDefault="0009188D" w:rsidP="00B90935">
            <w:pPr>
              <w:ind w:right="-6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06C07470" w14:textId="561BB85E" w:rsidR="0009188D" w:rsidRPr="0009188D" w:rsidRDefault="0009188D" w:rsidP="0009188D">
            <w:pPr>
              <w:ind w:right="-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Мекен-жай</w:t>
            </w:r>
            <w:proofErr w:type="spellEnd"/>
          </w:p>
        </w:tc>
        <w:tc>
          <w:tcPr>
            <w:tcW w:w="5240" w:type="dxa"/>
          </w:tcPr>
          <w:p w14:paraId="203F9048" w14:textId="7204F694" w:rsidR="0009188D" w:rsidRPr="0009188D" w:rsidRDefault="0009188D" w:rsidP="0009188D">
            <w:pPr>
              <w:ind w:right="-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</w:t>
            </w:r>
            <w:proofErr w:type="spellEnd"/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атауы</w:t>
            </w:r>
            <w:proofErr w:type="spellEnd"/>
          </w:p>
        </w:tc>
      </w:tr>
      <w:tr w:rsidR="0009188D" w14:paraId="03BEABCD" w14:textId="77777777" w:rsidTr="0009188D">
        <w:tc>
          <w:tcPr>
            <w:tcW w:w="562" w:type="dxa"/>
            <w:vMerge w:val="restart"/>
          </w:tcPr>
          <w:p w14:paraId="2A7DDB01" w14:textId="77777777" w:rsidR="0009188D" w:rsidRDefault="0009188D" w:rsidP="00B90935">
            <w:pPr>
              <w:ind w:right="-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0E9F08" w14:textId="2A6CC993" w:rsidR="0009188D" w:rsidRDefault="0009188D" w:rsidP="00B90935">
            <w:pPr>
              <w:ind w:right="-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14:paraId="6BF7C16E" w14:textId="77777777" w:rsidR="0009188D" w:rsidRDefault="0009188D" w:rsidP="00B90935">
            <w:pPr>
              <w:ind w:right="-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0" w:type="dxa"/>
          </w:tcPr>
          <w:p w14:paraId="1AC49CC3" w14:textId="4D4207F7" w:rsidR="0009188D" w:rsidRPr="0009188D" w:rsidRDefault="0009188D" w:rsidP="0009188D">
            <w:pPr>
              <w:ind w:right="-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Интернет 100 </w:t>
            </w:r>
            <w:proofErr w:type="spellStart"/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желісіне</w:t>
            </w:r>
            <w:proofErr w:type="spellEnd"/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қолжетімділік</w:t>
            </w:r>
            <w:proofErr w:type="spellEnd"/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Мбит/с Мбит/с</w:t>
            </w:r>
          </w:p>
        </w:tc>
      </w:tr>
      <w:tr w:rsidR="0009188D" w14:paraId="408B2B03" w14:textId="77777777" w:rsidTr="0009188D">
        <w:tc>
          <w:tcPr>
            <w:tcW w:w="562" w:type="dxa"/>
            <w:vMerge/>
          </w:tcPr>
          <w:p w14:paraId="49F971AD" w14:textId="77777777" w:rsidR="0009188D" w:rsidRDefault="0009188D" w:rsidP="00B90935">
            <w:pPr>
              <w:ind w:right="-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18AE8F8" w14:textId="0F4A24A7" w:rsidR="0009188D" w:rsidRDefault="0009188D" w:rsidP="00B90935">
            <w:pPr>
              <w:ind w:right="-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Нұр-Сұлтан</w:t>
            </w:r>
            <w:proofErr w:type="spellEnd"/>
            <w:r w:rsidRPr="00B9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қ., </w:t>
            </w:r>
            <w:proofErr w:type="spellStart"/>
            <w:r w:rsidRPr="00B9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Мәңгілік</w:t>
            </w:r>
            <w:proofErr w:type="spellEnd"/>
            <w:r w:rsidRPr="00B9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ел, 55/9</w:t>
            </w:r>
            <w:r w:rsidRPr="00B9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240" w:type="dxa"/>
          </w:tcPr>
          <w:p w14:paraId="491833E1" w14:textId="6ECFDBD9" w:rsidR="0009188D" w:rsidRPr="0009188D" w:rsidRDefault="0009188D" w:rsidP="0009188D">
            <w:pPr>
              <w:ind w:right="-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IP </w:t>
            </w:r>
            <w:proofErr w:type="spellStart"/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мекен-жай</w:t>
            </w:r>
            <w:proofErr w:type="spellEnd"/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блогын</w:t>
            </w:r>
            <w:proofErr w:type="spellEnd"/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қолдау</w:t>
            </w:r>
            <w:proofErr w:type="spellEnd"/>
          </w:p>
        </w:tc>
      </w:tr>
    </w:tbl>
    <w:p w14:paraId="669E096E" w14:textId="7FC99F71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712B643" w14:textId="77777777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Интернет </w:t>
      </w:r>
      <w:proofErr w:type="spellStart"/>
      <w:r w:rsidRPr="000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желісіне</w:t>
      </w:r>
      <w:proofErr w:type="spellEnd"/>
      <w:r w:rsidRPr="000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қол</w:t>
      </w:r>
      <w:proofErr w:type="spellEnd"/>
      <w:r w:rsidRPr="000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жеткізу</w:t>
      </w:r>
      <w:proofErr w:type="spellEnd"/>
      <w:r w:rsidRPr="000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қызметіне</w:t>
      </w:r>
      <w:proofErr w:type="spellEnd"/>
      <w:r w:rsidRPr="000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қойылатын</w:t>
      </w:r>
      <w:proofErr w:type="spellEnd"/>
      <w:r w:rsidRPr="000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талаптар</w:t>
      </w:r>
      <w:proofErr w:type="spellEnd"/>
      <w:r w:rsidRPr="000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3E6FD3C" w14:textId="77777777" w:rsidR="00B90935" w:rsidRPr="00B90935" w:rsidRDefault="00B90935" w:rsidP="00A43F6C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қолданыстағы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жабдықты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сақтай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радиоқабылдау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спутниктік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арналар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ұйымдастырылған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учаскелердің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қатысуынсыз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тұрақты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сенімді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қосылуды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бүкіл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трасса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талшықты-оптикалық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желілерін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(ТОБЖ)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пайдалана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ғана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ұйымдастыруға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міндетті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F8DB8EB" w14:textId="77777777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жергілікті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желісіне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қосылуға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интерфейс – Ethernet</w:t>
      </w:r>
    </w:p>
    <w:p w14:paraId="3AFBEC35" w14:textId="77777777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Арна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ақаудан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істен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шыққан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кезекші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операторы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ақаулық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қызметіне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хабарлайды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ақаудың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жай-күйін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анықтайды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ақаулықты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жою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тиісті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шақырады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DA1891D" w14:textId="35EAC754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091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берушімен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ала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келісім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дайындық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монтаждау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жұмыстарының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бүкіл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көлемін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бетінше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асыруға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міндетті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91611E6" w14:textId="789DA4DA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091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Әлеуеттi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қызметтерiн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ұйымдастыру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үшiн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қажеттi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жабдықты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iшiнде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берушiнiң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нысандарында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үздiксiз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электрмен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жабдықтау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көзіне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қосылған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активтi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коммутациялық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жабдықты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етуге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мiндеттi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B981D8" w14:textId="7A271215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091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жеткізушіге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тәулік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бойы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желі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күйін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тәулік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бойы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бақылауды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ақауларды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жедел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жоюды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жабдықтың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зақымдалуын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жою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уақыты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сағаттан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аспайды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B6F469" w14:textId="77777777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тәулігіне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аптасына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күн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жылына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365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күн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(24х7х365) Интернет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желісіне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етуге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міндетті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ECB6225" w14:textId="77777777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нысандарында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қосу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нүктелеріне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соңғы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мильді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ұйымдастыру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монтаждау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жұмыстарын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жүргізуге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соңғы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құрылғыларын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баптау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жұмыстарды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жүргізуге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кепілдік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8104FA" w14:textId="77777777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A8B512" w14:textId="77777777" w:rsidR="00B90935" w:rsidRPr="00A43F6C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3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A43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Әлеуетті</w:t>
      </w:r>
      <w:proofErr w:type="spellEnd"/>
      <w:r w:rsidRPr="00A43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43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жеткізушіге</w:t>
      </w:r>
      <w:proofErr w:type="spellEnd"/>
      <w:r w:rsidRPr="00A43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43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қойылатын</w:t>
      </w:r>
      <w:proofErr w:type="spellEnd"/>
      <w:r w:rsidRPr="00A43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43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талаптар</w:t>
      </w:r>
      <w:proofErr w:type="spellEnd"/>
    </w:p>
    <w:p w14:paraId="0868B176" w14:textId="7562483B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Инсталляция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мерзімі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бастау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): 01.01.2022 ж-дан 31.12.2022 ж-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6CB078" w14:textId="2F4140DE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RIPE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базасында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жүйесі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керек.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Мұны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https://www.ripe.net/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ресми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веб-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сайтынан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сұрау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нәтижелерін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керек.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берушіге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атына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IP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мекенжайлары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толық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көрсететін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осы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көзден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сілтемесін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BBAB2B3" w14:textId="602C8C44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Тұтынушының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талабы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көрсетуге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қатысты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ұсынуға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4666553" w14:textId="3B7CCFB3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жерүсті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телекоммуникация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желісінің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жабдығы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BGP-4 (RFC 1771), MPLS (RFC 3031), MP-BGP (RFC 2858), MPLS VPN (RFC 2858bis)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сияқты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пакеттік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деректерді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берудің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заманауи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технологиялары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хаттамаларын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қолдауы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керек.</w:t>
      </w:r>
    </w:p>
    <w:p w14:paraId="174A1B5D" w14:textId="2AF62CFB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Заңының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Инвестициялар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даму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міндетін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атқарушының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24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ақпандағы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№10999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бұйрығы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Ақпараттандыру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Заңына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Интернет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желісіне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қағидаларының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талаптарына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(24х7х365)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тәулігіне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жылына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365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күн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(24х7х365) Интернет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желісіне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көрсетуге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міндетті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1087C28" w14:textId="74817A50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қызметтердің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қолжетімділігін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99,5%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етуі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D8FB4F2" w14:textId="6CD076C1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желісіндегі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пакеттердің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жоғалу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деңгейін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1 %-дан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аспауы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D1D540C" w14:textId="1199A906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Интернетке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ғимаратында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сымдарды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қосу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/кабель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тартуды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бастау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жүргізу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жабдықты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орнату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болған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осы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жұмыстарды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орындауды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берушімен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ғимараттың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иесімен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келісуге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міндетті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92E29AC" w14:textId="77777777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Жабдықты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монтаждау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кабельдерді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тарту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жүргізу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желісіне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жұмыстар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Құрылыс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саласындағы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құрылыс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салуды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ұйымдастыру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рұқсат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рәсімдерінен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өту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қағидаларын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Ұлттық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экономика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қарашадағы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750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бұйрығының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тармақтарының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талаптарына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орындалуы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ретте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жабдықты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монтаждау</w:t>
      </w:r>
      <w:proofErr w:type="spellEnd"/>
      <w:proofErr w:type="gram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кабельдерді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тарту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жүргізу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желісіне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қызметтерге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кететін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шығындарды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есебінен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төлейді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B01991C" w14:textId="6E80491B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желілік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арналарының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арналарының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жүктелуі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80%-дан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аспауы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75B70AE" w14:textId="031C2DB1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сатып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шарт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міндеттемелерді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осы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ерекшеліктің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талаптарын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пайдаланатын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жабдықты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маршруттау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коммутациялау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саласында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сарапшы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(CCIE)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инженердің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болуын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растауы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штатында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тәжірибесі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керек (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растайтын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69FEB52D" w14:textId="438FE922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берушіге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пайдаланылатын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жабдықтарында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стандарттарына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сәйкестік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сертификаттары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B7963C0" w14:textId="617346FA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сапасы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Республикасындағы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қолданыстағы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стандарттарға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өзге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нормаларға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керек;</w:t>
      </w:r>
    </w:p>
    <w:p w14:paraId="2AF4A5E0" w14:textId="1BC19F41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ішкі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ережелеріне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заңнамасына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қызметтік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қорғалуын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сақталуын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8C5639" w14:textId="248BB1DC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желінің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дайындық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коэффициентіне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(ЖДК)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сәйкестігіне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өзінің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желілерін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мониторингілеу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0D485FF" w14:textId="25562862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Қолданыстағы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IP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мекен-жайларды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ауыстыру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кезінде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инфрақұрылымының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көлемін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конфигурациялауды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жүргізуі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міндетті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42577CF" w14:textId="5A6F2370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16.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Инвестициялар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даму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міндетін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атқарушының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ақпандағы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171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«Интернет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желісіне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қағидаларының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2-тармағына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көрсетілуі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71F074" w14:textId="7464CF3C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кезінде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нормативтік-құқықтық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актілеріне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қауіпсіздік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саясатын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қауіпсіздік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талаптарын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етуі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сақтауы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A226B15" w14:textId="06841E60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мынадай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мүмкіндіктері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желілік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инфрақұрылымға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жасалған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шабуылдарға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тосқау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қойылғаны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сұрау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мүмкіндігімен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арнайы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ақпараттық-құралдық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қорғау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құралдарын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абоненттің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желілік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ресурстарын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DDOS</w:t>
      </w:r>
      <w:proofErr w:type="gram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шабуылдарынан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қорғау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572CF69" w14:textId="02FCFB89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мынадай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мүмкіндігі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: DPI (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трафикті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терең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208BAD43" w14:textId="0CAC11A0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="00E51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Жеткізушінің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баға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ұсынысы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көрсетуге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шығындарды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қамтуы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82AD12" w14:textId="61320814" w:rsidR="00B90935" w:rsidRP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Төлем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жүргізіледі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F83F0C" w14:textId="022D7B00" w:rsidR="00B90935" w:rsidRDefault="00B90935" w:rsidP="00B90935">
      <w:pPr>
        <w:pBdr>
          <w:top w:val="nil"/>
          <w:left w:val="nil"/>
          <w:bottom w:val="nil"/>
          <w:right w:val="nil"/>
          <w:between w:val="nil"/>
        </w:pBdr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 w:rsidR="00A43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сапа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менеджменті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жүйесінің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экологиялық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менеджмент </w:t>
      </w:r>
      <w:proofErr w:type="spellStart"/>
      <w:proofErr w:type="gram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жүйесінің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орнында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қауіпсіздігін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стандарттарына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ISO 9001, ISO 14001, 27001, ISO 45001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ақпараттық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қауіпсіздік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стандартқа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B909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90EFD6" w14:textId="77777777" w:rsidR="00565FA7" w:rsidRDefault="00565FA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4DC2C6" w14:textId="77777777" w:rsidR="00565FA7" w:rsidRDefault="00565FA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36248F" w14:textId="77777777" w:rsidR="00565FA7" w:rsidRDefault="00565FA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255AE4" w14:textId="77777777" w:rsidR="00565FA7" w:rsidRDefault="00565FA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1CA79B" w14:textId="77777777" w:rsidR="00565FA7" w:rsidRDefault="00565FA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56C9CA" w14:textId="77777777" w:rsidR="00565FA7" w:rsidRDefault="00565FA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8141D" w14:textId="77777777" w:rsidR="00565FA7" w:rsidRDefault="00565FA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786C2F" w14:textId="77777777" w:rsidR="00565FA7" w:rsidRDefault="00565FA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DB2423" w14:textId="77777777" w:rsidR="00565FA7" w:rsidRDefault="00565FA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5FA7">
      <w:pgSz w:w="11906" w:h="16838"/>
      <w:pgMar w:top="993" w:right="849" w:bottom="72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E9E"/>
    <w:multiLevelType w:val="multilevel"/>
    <w:tmpl w:val="5A7CD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1DEA"/>
    <w:multiLevelType w:val="multilevel"/>
    <w:tmpl w:val="85E651C2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70" w:hanging="360"/>
      </w:pPr>
      <w:rPr>
        <w:b w:val="0"/>
        <w:color w:val="000000"/>
      </w:rPr>
    </w:lvl>
    <w:lvl w:ilvl="2">
      <w:start w:val="1"/>
      <w:numFmt w:val="decimal"/>
      <w:lvlText w:val="11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12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A7"/>
    <w:rsid w:val="0009188D"/>
    <w:rsid w:val="00565FA7"/>
    <w:rsid w:val="00A43F6C"/>
    <w:rsid w:val="00B90935"/>
    <w:rsid w:val="00CB40F2"/>
    <w:rsid w:val="00E51C3F"/>
    <w:rsid w:val="00E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EFE6"/>
  <w15:docId w15:val="{FE193D6C-FE84-458B-AC5E-6B160C71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>
    <w:name w:val="Table Grid"/>
    <w:basedOn w:val="a1"/>
    <w:uiPriority w:val="39"/>
    <w:rsid w:val="00B9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Демир Айман</dc:creator>
  <cp:lastModifiedBy>Айман Демир</cp:lastModifiedBy>
  <cp:revision>4</cp:revision>
  <dcterms:created xsi:type="dcterms:W3CDTF">2021-12-20T07:51:00Z</dcterms:created>
  <dcterms:modified xsi:type="dcterms:W3CDTF">2021-12-20T10:36:00Z</dcterms:modified>
</cp:coreProperties>
</file>